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97B6F" w14:textId="2EE2A8C1" w:rsidR="003C546A" w:rsidRPr="003C546A" w:rsidRDefault="006A0A2A" w:rsidP="003C546A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Environment, Economy, Housing &amp; Transport </w:t>
      </w:r>
      <w:r w:rsidR="00990CC8">
        <w:rPr>
          <w:rFonts w:ascii="Arial" w:hAnsi="Arial" w:cs="Arial"/>
          <w:sz w:val="28"/>
          <w:szCs w:val="28"/>
        </w:rPr>
        <w:t>Work Programme 2015/16</w:t>
      </w:r>
    </w:p>
    <w:p w14:paraId="50A97B70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b/>
          <w:lang w:eastAsia="en-GB"/>
        </w:rPr>
      </w:pPr>
      <w:r w:rsidRPr="003C546A">
        <w:rPr>
          <w:rFonts w:ascii="Arial" w:eastAsia="Times New Roman" w:hAnsi="Arial" w:cs="Arial"/>
          <w:b/>
          <w:lang w:eastAsia="en-GB"/>
        </w:rPr>
        <w:t>Purpose</w:t>
      </w:r>
    </w:p>
    <w:p w14:paraId="50A97B71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b/>
          <w:lang w:eastAsia="en-GB"/>
        </w:rPr>
      </w:pPr>
    </w:p>
    <w:p w14:paraId="50A97B72" w14:textId="1B3A2DAC" w:rsidR="003C546A" w:rsidRPr="003C546A" w:rsidRDefault="003C546A" w:rsidP="003C546A">
      <w:pPr>
        <w:spacing w:line="240" w:lineRule="auto"/>
        <w:rPr>
          <w:rFonts w:ascii="Arial" w:eastAsia="Times New Roman" w:hAnsi="Arial" w:cs="Arial"/>
          <w:b/>
          <w:lang w:eastAsia="en-GB"/>
        </w:rPr>
      </w:pPr>
      <w:proofErr w:type="gramStart"/>
      <w:r w:rsidRPr="003C546A">
        <w:rPr>
          <w:rFonts w:ascii="Arial" w:eastAsia="Times New Roman" w:hAnsi="Arial" w:cs="Arial"/>
          <w:lang w:eastAsia="en-GB"/>
        </w:rPr>
        <w:t>For discussion and direction</w:t>
      </w:r>
      <w:r w:rsidR="00B57513">
        <w:rPr>
          <w:rFonts w:ascii="Arial" w:eastAsia="Times New Roman" w:hAnsi="Arial" w:cs="Arial"/>
          <w:lang w:eastAsia="en-GB"/>
        </w:rPr>
        <w:t>.</w:t>
      </w:r>
      <w:proofErr w:type="gramEnd"/>
    </w:p>
    <w:p w14:paraId="50A97B73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b/>
          <w:lang w:eastAsia="en-GB"/>
        </w:rPr>
      </w:pPr>
    </w:p>
    <w:p w14:paraId="50A97B74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  <w:r w:rsidRPr="003C546A">
        <w:rPr>
          <w:rFonts w:ascii="Arial" w:eastAsia="Times New Roman" w:hAnsi="Arial" w:cs="Arial"/>
          <w:b/>
          <w:lang w:eastAsia="en-GB"/>
        </w:rPr>
        <w:t>Summary</w:t>
      </w:r>
    </w:p>
    <w:p w14:paraId="50A97B75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0A97B76" w14:textId="1ADE7E1A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  <w:r w:rsidRPr="003C546A">
        <w:rPr>
          <w:rFonts w:ascii="Arial" w:eastAsia="Times New Roman" w:hAnsi="Arial" w:cs="Arial"/>
          <w:lang w:eastAsia="en-GB"/>
        </w:rPr>
        <w:t xml:space="preserve">This report sets out a draft work </w:t>
      </w:r>
      <w:r w:rsidR="000C123B" w:rsidRPr="003C546A">
        <w:rPr>
          <w:rFonts w:ascii="Arial" w:eastAsia="Times New Roman" w:hAnsi="Arial" w:cs="Arial"/>
          <w:lang w:eastAsia="en-GB"/>
        </w:rPr>
        <w:t>programme</w:t>
      </w:r>
      <w:r w:rsidRPr="003C546A">
        <w:rPr>
          <w:rFonts w:ascii="Arial" w:eastAsia="Times New Roman" w:hAnsi="Arial" w:cs="Arial"/>
          <w:lang w:eastAsia="en-GB"/>
        </w:rPr>
        <w:t xml:space="preserve"> for the Environment Housing and Economy Board for 2015/16. The work programme seeks to:</w:t>
      </w:r>
    </w:p>
    <w:p w14:paraId="50A97B77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0A97B78" w14:textId="21F6E0C0" w:rsidR="003C546A" w:rsidRPr="003C546A" w:rsidRDefault="003C546A" w:rsidP="003C546A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lang w:eastAsia="en-GB"/>
        </w:rPr>
      </w:pPr>
      <w:r w:rsidRPr="003C546A">
        <w:rPr>
          <w:rFonts w:ascii="Arial" w:eastAsia="Times New Roman" w:hAnsi="Arial" w:cs="Arial"/>
          <w:lang w:eastAsia="en-GB"/>
        </w:rPr>
        <w:t>Reflect the broad remit for the Board</w:t>
      </w:r>
      <w:r w:rsidR="00017586">
        <w:rPr>
          <w:rFonts w:ascii="Arial" w:eastAsia="Times New Roman" w:hAnsi="Arial" w:cs="Arial"/>
          <w:lang w:eastAsia="en-GB"/>
        </w:rPr>
        <w:t xml:space="preserve"> and provide some continuity</w:t>
      </w:r>
      <w:r w:rsidR="00B57513">
        <w:rPr>
          <w:rFonts w:ascii="Arial" w:eastAsia="Times New Roman" w:hAnsi="Arial" w:cs="Arial"/>
          <w:lang w:eastAsia="en-GB"/>
        </w:rPr>
        <w:t>.</w:t>
      </w:r>
    </w:p>
    <w:p w14:paraId="50A97B79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0A97B7A" w14:textId="78AC3482" w:rsidR="003C546A" w:rsidRPr="003C546A" w:rsidRDefault="003C546A" w:rsidP="003C546A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lang w:eastAsia="en-GB"/>
        </w:rPr>
      </w:pPr>
      <w:r w:rsidRPr="003C546A">
        <w:rPr>
          <w:rFonts w:ascii="Arial" w:eastAsia="Times New Roman" w:hAnsi="Arial" w:cs="Arial"/>
          <w:lang w:eastAsia="en-GB"/>
        </w:rPr>
        <w:t>Recognise the government’s legislative agenda including the forthcoming Housing and Buses bills as well as the Welfare Reform and Work Bill 2015</w:t>
      </w:r>
      <w:r w:rsidR="00B57513">
        <w:rPr>
          <w:rFonts w:ascii="Arial" w:eastAsia="Times New Roman" w:hAnsi="Arial" w:cs="Arial"/>
          <w:lang w:eastAsia="en-GB"/>
        </w:rPr>
        <w:t>.</w:t>
      </w:r>
    </w:p>
    <w:p w14:paraId="50A97B7B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0A97B7C" w14:textId="103E3CAF" w:rsidR="003C546A" w:rsidRPr="003C546A" w:rsidRDefault="007D210D" w:rsidP="003C546A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Reflect the LGA</w:t>
      </w:r>
      <w:r w:rsidR="003C546A" w:rsidRPr="003C546A">
        <w:rPr>
          <w:rFonts w:ascii="Arial" w:eastAsia="Times New Roman" w:hAnsi="Arial" w:cs="Arial"/>
          <w:lang w:eastAsia="en-GB"/>
        </w:rPr>
        <w:t xml:space="preserve"> Leadership Board priorities, specifically for the EEHT board to lead a Housing Commission (a Housing Commission Item is on this agenda)</w:t>
      </w:r>
      <w:r w:rsidR="00B57513">
        <w:rPr>
          <w:rFonts w:ascii="Arial" w:eastAsia="Times New Roman" w:hAnsi="Arial" w:cs="Arial"/>
          <w:lang w:eastAsia="en-GB"/>
        </w:rPr>
        <w:t>.</w:t>
      </w:r>
      <w:r w:rsidR="003C546A" w:rsidRPr="003C546A">
        <w:rPr>
          <w:rFonts w:ascii="Arial" w:eastAsia="Times New Roman" w:hAnsi="Arial" w:cs="Arial"/>
          <w:lang w:eastAsia="en-GB"/>
        </w:rPr>
        <w:t xml:space="preserve"> </w:t>
      </w:r>
    </w:p>
    <w:p w14:paraId="50A97B7D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0A97B7E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0A97B7F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3C546A" w:rsidRPr="003C546A" w14:paraId="50A97B89" w14:textId="77777777" w:rsidTr="004D388E">
        <w:tc>
          <w:tcPr>
            <w:tcW w:w="9157" w:type="dxa"/>
          </w:tcPr>
          <w:p w14:paraId="50A97B80" w14:textId="77777777" w:rsidR="003C546A" w:rsidRPr="003C546A" w:rsidRDefault="003C546A" w:rsidP="003C546A">
            <w:pPr>
              <w:spacing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0A97B81" w14:textId="61639D11" w:rsidR="003C546A" w:rsidRPr="003C546A" w:rsidRDefault="007D210D" w:rsidP="003C546A">
            <w:pPr>
              <w:spacing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Recommendation</w:t>
            </w:r>
          </w:p>
          <w:p w14:paraId="50A97B82" w14:textId="77777777" w:rsidR="003C546A" w:rsidRPr="003C546A" w:rsidRDefault="003C546A" w:rsidP="003C546A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0A97B83" w14:textId="77777777" w:rsidR="003C546A" w:rsidRPr="003C546A" w:rsidRDefault="003C546A" w:rsidP="003C546A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3C546A">
              <w:rPr>
                <w:rFonts w:ascii="Arial" w:eastAsia="Times New Roman" w:hAnsi="Arial" w:cs="Arial"/>
                <w:lang w:eastAsia="en-GB"/>
              </w:rPr>
              <w:t>The Board is asked to consider and comment on the draft work programme set out in this report</w:t>
            </w:r>
            <w:r w:rsidR="00017586">
              <w:rPr>
                <w:rFonts w:ascii="Arial" w:eastAsia="Times New Roman" w:hAnsi="Arial" w:cs="Arial"/>
                <w:lang w:eastAsia="en-GB"/>
              </w:rPr>
              <w:t xml:space="preserve"> and to agree a final version.</w:t>
            </w:r>
          </w:p>
          <w:p w14:paraId="50A97B84" w14:textId="77777777" w:rsidR="003C546A" w:rsidRPr="003C546A" w:rsidRDefault="003C546A" w:rsidP="003C546A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0A97B85" w14:textId="39388B95" w:rsidR="003C546A" w:rsidRPr="003C546A" w:rsidRDefault="007D210D" w:rsidP="003C546A">
            <w:pPr>
              <w:spacing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Action</w:t>
            </w:r>
          </w:p>
          <w:p w14:paraId="50A97B86" w14:textId="77777777" w:rsidR="003C546A" w:rsidRPr="003C546A" w:rsidRDefault="003C546A" w:rsidP="003C546A">
            <w:pPr>
              <w:spacing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0A97B87" w14:textId="77777777" w:rsidR="003C546A" w:rsidRPr="003C546A" w:rsidRDefault="003C546A" w:rsidP="003C546A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3C546A">
              <w:rPr>
                <w:rFonts w:ascii="Arial" w:eastAsia="Times New Roman" w:hAnsi="Arial" w:cs="Arial"/>
                <w:lang w:eastAsia="en-GB"/>
              </w:rPr>
              <w:t>Officers will take action as directed.</w:t>
            </w:r>
          </w:p>
          <w:p w14:paraId="50A97B88" w14:textId="77777777" w:rsidR="003C546A" w:rsidRPr="003C546A" w:rsidRDefault="003C546A" w:rsidP="003C546A">
            <w:pPr>
              <w:spacing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50A97B8A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0A97B8B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0A97B8C" w14:textId="77777777" w:rsidR="003C546A" w:rsidRPr="003C546A" w:rsidRDefault="003C546A" w:rsidP="003C546A">
      <w:pPr>
        <w:spacing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3C546A" w:rsidRPr="003C546A" w14:paraId="50A97B8F" w14:textId="77777777" w:rsidTr="004D388E">
        <w:tc>
          <w:tcPr>
            <w:tcW w:w="2802" w:type="dxa"/>
          </w:tcPr>
          <w:p w14:paraId="50A97B8D" w14:textId="77777777" w:rsidR="003C546A" w:rsidRPr="003C546A" w:rsidRDefault="003C546A" w:rsidP="003C546A">
            <w:pPr>
              <w:spacing w:before="120"/>
              <w:rPr>
                <w:rFonts w:ascii="Arial" w:hAnsi="Arial" w:cs="Arial"/>
              </w:rPr>
            </w:pPr>
            <w:r w:rsidRPr="003C546A">
              <w:rPr>
                <w:rFonts w:ascii="Arial" w:hAnsi="Arial" w:cs="Arial"/>
                <w:b/>
              </w:rPr>
              <w:t>Contact officer:</w:t>
            </w:r>
            <w:r w:rsidRPr="003C5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8" w:type="dxa"/>
          </w:tcPr>
          <w:p w14:paraId="50A97B8E" w14:textId="77777777" w:rsidR="003C546A" w:rsidRPr="003C546A" w:rsidRDefault="003C546A" w:rsidP="003C546A">
            <w:pPr>
              <w:spacing w:before="120"/>
              <w:rPr>
                <w:rFonts w:ascii="Arial" w:hAnsi="Arial" w:cs="Arial"/>
              </w:rPr>
            </w:pPr>
            <w:r w:rsidRPr="003C546A">
              <w:rPr>
                <w:rFonts w:ascii="Arial" w:hAnsi="Arial" w:cs="Arial"/>
              </w:rPr>
              <w:t>Eamon Lally</w:t>
            </w:r>
          </w:p>
        </w:tc>
      </w:tr>
      <w:tr w:rsidR="003C546A" w:rsidRPr="003C546A" w14:paraId="50A97B92" w14:textId="77777777" w:rsidTr="004D388E">
        <w:tc>
          <w:tcPr>
            <w:tcW w:w="2802" w:type="dxa"/>
          </w:tcPr>
          <w:p w14:paraId="50A97B90" w14:textId="77777777" w:rsidR="003C546A" w:rsidRPr="003C546A" w:rsidRDefault="003C546A" w:rsidP="003C546A">
            <w:pPr>
              <w:spacing w:before="120"/>
              <w:rPr>
                <w:rFonts w:ascii="Arial" w:hAnsi="Arial" w:cs="Arial"/>
                <w:b/>
              </w:rPr>
            </w:pPr>
            <w:r w:rsidRPr="003C546A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6378" w:type="dxa"/>
          </w:tcPr>
          <w:p w14:paraId="50A97B91" w14:textId="77777777" w:rsidR="003C546A" w:rsidRPr="003C546A" w:rsidRDefault="003C546A" w:rsidP="003C546A">
            <w:pPr>
              <w:spacing w:before="120"/>
              <w:rPr>
                <w:rFonts w:ascii="Arial" w:hAnsi="Arial" w:cs="Arial"/>
              </w:rPr>
            </w:pPr>
            <w:r w:rsidRPr="003C546A">
              <w:rPr>
                <w:rFonts w:ascii="Arial" w:hAnsi="Arial" w:cs="Arial"/>
              </w:rPr>
              <w:t>Principal Policy Adviser</w:t>
            </w:r>
          </w:p>
        </w:tc>
      </w:tr>
      <w:tr w:rsidR="003C546A" w:rsidRPr="003C546A" w14:paraId="50A97B95" w14:textId="77777777" w:rsidTr="004D388E">
        <w:tc>
          <w:tcPr>
            <w:tcW w:w="2802" w:type="dxa"/>
          </w:tcPr>
          <w:p w14:paraId="50A97B93" w14:textId="77777777" w:rsidR="003C546A" w:rsidRPr="003C546A" w:rsidRDefault="003C546A" w:rsidP="003C546A">
            <w:pPr>
              <w:spacing w:before="120"/>
              <w:rPr>
                <w:rFonts w:ascii="Arial" w:hAnsi="Arial" w:cs="Arial"/>
                <w:b/>
              </w:rPr>
            </w:pPr>
            <w:r w:rsidRPr="003C546A">
              <w:rPr>
                <w:rFonts w:ascii="Arial" w:hAnsi="Arial" w:cs="Arial"/>
                <w:b/>
              </w:rPr>
              <w:t>Phone no:</w:t>
            </w:r>
          </w:p>
        </w:tc>
        <w:tc>
          <w:tcPr>
            <w:tcW w:w="6378" w:type="dxa"/>
          </w:tcPr>
          <w:p w14:paraId="50A97B94" w14:textId="77777777" w:rsidR="003C546A" w:rsidRPr="003C546A" w:rsidRDefault="003C546A" w:rsidP="003C546A">
            <w:pPr>
              <w:spacing w:before="120"/>
              <w:rPr>
                <w:rFonts w:ascii="Arial" w:hAnsi="Arial" w:cs="Arial"/>
              </w:rPr>
            </w:pPr>
            <w:r w:rsidRPr="003C546A">
              <w:rPr>
                <w:rFonts w:ascii="Arial" w:hAnsi="Arial" w:cs="Arial"/>
              </w:rPr>
              <w:t>0207 6643132/ 07799768570</w:t>
            </w:r>
          </w:p>
        </w:tc>
      </w:tr>
      <w:tr w:rsidR="003C546A" w:rsidRPr="003C546A" w14:paraId="50A97B98" w14:textId="77777777" w:rsidTr="004D388E">
        <w:trPr>
          <w:trHeight w:val="507"/>
        </w:trPr>
        <w:tc>
          <w:tcPr>
            <w:tcW w:w="2802" w:type="dxa"/>
          </w:tcPr>
          <w:p w14:paraId="50A97B96" w14:textId="77777777" w:rsidR="003C546A" w:rsidRPr="003C546A" w:rsidRDefault="003C546A" w:rsidP="003C546A">
            <w:pPr>
              <w:spacing w:before="120"/>
              <w:rPr>
                <w:rFonts w:ascii="Arial" w:hAnsi="Arial" w:cs="Arial"/>
                <w:b/>
              </w:rPr>
            </w:pPr>
            <w:r w:rsidRPr="003C546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378" w:type="dxa"/>
          </w:tcPr>
          <w:p w14:paraId="50A97B97" w14:textId="77777777" w:rsidR="003C546A" w:rsidRPr="003C546A" w:rsidRDefault="003C546A" w:rsidP="003C546A">
            <w:pPr>
              <w:spacing w:before="120"/>
              <w:rPr>
                <w:rFonts w:ascii="Arial" w:hAnsi="Arial" w:cs="Arial"/>
              </w:rPr>
            </w:pPr>
            <w:r w:rsidRPr="003C546A">
              <w:rPr>
                <w:rFonts w:ascii="Arial" w:hAnsi="Arial" w:cs="Arial"/>
              </w:rPr>
              <w:t>Eamon.lally@local.gov.uk</w:t>
            </w:r>
          </w:p>
        </w:tc>
      </w:tr>
    </w:tbl>
    <w:p w14:paraId="50A97B99" w14:textId="77777777" w:rsidR="003C546A" w:rsidRDefault="003C546A">
      <w:pPr>
        <w:rPr>
          <w:b/>
        </w:rPr>
      </w:pPr>
    </w:p>
    <w:p w14:paraId="50A97B9A" w14:textId="77777777" w:rsidR="003C546A" w:rsidRDefault="003C546A">
      <w:pPr>
        <w:rPr>
          <w:b/>
        </w:rPr>
      </w:pPr>
    </w:p>
    <w:p w14:paraId="50A97B9B" w14:textId="77777777" w:rsidR="003C546A" w:rsidRDefault="003C546A">
      <w:pPr>
        <w:rPr>
          <w:b/>
        </w:rPr>
      </w:pPr>
    </w:p>
    <w:p w14:paraId="50A97B9C" w14:textId="77777777" w:rsidR="003C546A" w:rsidRDefault="003C546A">
      <w:pPr>
        <w:rPr>
          <w:b/>
        </w:rPr>
      </w:pPr>
    </w:p>
    <w:p w14:paraId="50A97B9D" w14:textId="77777777" w:rsidR="003C546A" w:rsidRDefault="003C546A">
      <w:pPr>
        <w:rPr>
          <w:b/>
        </w:rPr>
      </w:pPr>
    </w:p>
    <w:p w14:paraId="50A97B9E" w14:textId="77777777" w:rsidR="003C546A" w:rsidRDefault="003C546A">
      <w:pPr>
        <w:rPr>
          <w:b/>
        </w:rPr>
      </w:pPr>
    </w:p>
    <w:p w14:paraId="50A97B9F" w14:textId="77777777" w:rsidR="003C546A" w:rsidRDefault="003C546A">
      <w:pPr>
        <w:rPr>
          <w:b/>
        </w:rPr>
      </w:pPr>
    </w:p>
    <w:p w14:paraId="50A97BA3" w14:textId="77777777" w:rsidR="003C546A" w:rsidRDefault="003C546A">
      <w:pPr>
        <w:rPr>
          <w:b/>
        </w:rPr>
        <w:sectPr w:rsidR="003C546A" w:rsidSect="003C546A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A97BA4" w14:textId="77777777" w:rsidR="00C60FF2" w:rsidRPr="00E4540B" w:rsidRDefault="00122A90">
      <w:pPr>
        <w:rPr>
          <w:b/>
        </w:rPr>
      </w:pPr>
      <w:r>
        <w:rPr>
          <w:b/>
        </w:rPr>
        <w:lastRenderedPageBreak/>
        <w:t xml:space="preserve">Draft </w:t>
      </w:r>
      <w:r w:rsidR="00E4540B">
        <w:rPr>
          <w:b/>
        </w:rPr>
        <w:t xml:space="preserve">EEHT </w:t>
      </w:r>
      <w:r w:rsidR="00293ABD" w:rsidRPr="00E4540B">
        <w:rPr>
          <w:b/>
        </w:rPr>
        <w:t>Work programme</w:t>
      </w:r>
      <w:r w:rsidR="00717AAB">
        <w:rPr>
          <w:b/>
        </w:rPr>
        <w:t xml:space="preserve"> 2015/16</w:t>
      </w:r>
    </w:p>
    <w:p w14:paraId="50A97BA5" w14:textId="77777777" w:rsidR="00293ABD" w:rsidRDefault="00293ABD"/>
    <w:p w14:paraId="50A97BA6" w14:textId="77777777" w:rsidR="00293ABD" w:rsidRDefault="00293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3544"/>
        <w:gridCol w:w="2976"/>
      </w:tblGrid>
      <w:tr w:rsidR="00122A90" w14:paraId="50A97BAB" w14:textId="77777777" w:rsidTr="00122A90">
        <w:tc>
          <w:tcPr>
            <w:tcW w:w="2093" w:type="dxa"/>
          </w:tcPr>
          <w:p w14:paraId="50A97BA7" w14:textId="77777777" w:rsidR="00122A90" w:rsidRPr="00E4540B" w:rsidRDefault="00122A90" w:rsidP="00293ABD">
            <w:pPr>
              <w:ind w:firstLine="720"/>
              <w:rPr>
                <w:b/>
              </w:rPr>
            </w:pPr>
            <w:r w:rsidRPr="00E4540B">
              <w:rPr>
                <w:b/>
              </w:rPr>
              <w:t>Priority</w:t>
            </w:r>
          </w:p>
        </w:tc>
        <w:tc>
          <w:tcPr>
            <w:tcW w:w="4536" w:type="dxa"/>
          </w:tcPr>
          <w:p w14:paraId="50A97BA8" w14:textId="77777777" w:rsidR="00122A90" w:rsidRPr="00E4540B" w:rsidRDefault="00122A90">
            <w:pPr>
              <w:rPr>
                <w:b/>
              </w:rPr>
            </w:pPr>
            <w:r w:rsidRPr="00E4540B">
              <w:rPr>
                <w:b/>
              </w:rPr>
              <w:t>Key outcomes</w:t>
            </w:r>
          </w:p>
        </w:tc>
        <w:tc>
          <w:tcPr>
            <w:tcW w:w="3544" w:type="dxa"/>
          </w:tcPr>
          <w:p w14:paraId="50A97BA9" w14:textId="77777777" w:rsidR="00122A90" w:rsidRPr="00E4540B" w:rsidRDefault="00122A90">
            <w:pPr>
              <w:rPr>
                <w:b/>
              </w:rPr>
            </w:pPr>
            <w:r w:rsidRPr="00E4540B">
              <w:rPr>
                <w:b/>
              </w:rPr>
              <w:t>Board Activity</w:t>
            </w:r>
          </w:p>
        </w:tc>
        <w:tc>
          <w:tcPr>
            <w:tcW w:w="2976" w:type="dxa"/>
          </w:tcPr>
          <w:p w14:paraId="50A97BAA" w14:textId="77777777" w:rsidR="00122A90" w:rsidRPr="00E4540B" w:rsidRDefault="00122A90">
            <w:pPr>
              <w:rPr>
                <w:b/>
              </w:rPr>
            </w:pPr>
            <w:r w:rsidRPr="00E4540B">
              <w:rPr>
                <w:b/>
              </w:rPr>
              <w:t>Timescales</w:t>
            </w:r>
          </w:p>
        </w:tc>
      </w:tr>
      <w:tr w:rsidR="00122A90" w14:paraId="50A97BB4" w14:textId="77777777" w:rsidTr="00122A90">
        <w:tc>
          <w:tcPr>
            <w:tcW w:w="2093" w:type="dxa"/>
            <w:vMerge w:val="restart"/>
          </w:tcPr>
          <w:p w14:paraId="50A97BAC" w14:textId="77777777" w:rsidR="00122A90" w:rsidRPr="00E4540B" w:rsidRDefault="00122A90">
            <w:pPr>
              <w:rPr>
                <w:b/>
              </w:rPr>
            </w:pPr>
            <w:r w:rsidRPr="00E4540B">
              <w:rPr>
                <w:b/>
              </w:rPr>
              <w:t>Housing/planning</w:t>
            </w:r>
          </w:p>
        </w:tc>
        <w:tc>
          <w:tcPr>
            <w:tcW w:w="4536" w:type="dxa"/>
          </w:tcPr>
          <w:p w14:paraId="50A97BAD" w14:textId="77777777" w:rsidR="00122A90" w:rsidRDefault="00122A90">
            <w:r>
              <w:t>Undertake a Housing Commission to look at housing supply and the future role of local authorities in shaping, with their partners</w:t>
            </w:r>
            <w:r w:rsidR="003C546A" w:rsidRPr="003C546A">
              <w:t xml:space="preserve">, and meeting </w:t>
            </w:r>
            <w:r>
              <w:t xml:space="preserve">housing that meets the needs of </w:t>
            </w:r>
            <w:r w:rsidR="003C546A" w:rsidRPr="003C546A">
              <w:t>communities and employers, helping drive growth and employment</w:t>
            </w:r>
            <w:r w:rsidR="003C546A">
              <w:t xml:space="preserve"> </w:t>
            </w:r>
            <w:r>
              <w:t xml:space="preserve">and meets the specific challenges of an aging population </w:t>
            </w:r>
          </w:p>
          <w:p w14:paraId="50A97BAE" w14:textId="77777777" w:rsidR="00122A90" w:rsidRDefault="00122A90"/>
        </w:tc>
        <w:tc>
          <w:tcPr>
            <w:tcW w:w="3544" w:type="dxa"/>
          </w:tcPr>
          <w:p w14:paraId="50A97BAF" w14:textId="03CAF9F8" w:rsidR="00122A90" w:rsidRDefault="00122A90" w:rsidP="003C546A">
            <w:r>
              <w:t>The EEHT Board will lead the Housing Commission (which is a   Leadership Board priority) and will draw on the advice and guidance of a</w:t>
            </w:r>
            <w:r w:rsidR="003C546A">
              <w:t xml:space="preserve"> network </w:t>
            </w:r>
            <w:r w:rsidR="000C123B">
              <w:t>of experts</w:t>
            </w:r>
            <w:r>
              <w:t>.</w:t>
            </w:r>
          </w:p>
        </w:tc>
        <w:tc>
          <w:tcPr>
            <w:tcW w:w="2976" w:type="dxa"/>
          </w:tcPr>
          <w:p w14:paraId="50A97BB0" w14:textId="77777777" w:rsidR="00122A90" w:rsidRDefault="00122A90">
            <w:r>
              <w:t>Completion/publication by March/April  2015-</w:t>
            </w:r>
          </w:p>
          <w:p w14:paraId="50A97BB1" w14:textId="77777777" w:rsidR="00122A90" w:rsidRDefault="00122A90"/>
          <w:p w14:paraId="50A97BB2" w14:textId="77777777" w:rsidR="00122A90" w:rsidRDefault="00122A90">
            <w:r>
              <w:t>Part of the publication at the 2016 LGA annual conference June/July 2016</w:t>
            </w:r>
          </w:p>
          <w:p w14:paraId="50A97BB3" w14:textId="77777777" w:rsidR="00122A90" w:rsidRDefault="00122A90"/>
        </w:tc>
      </w:tr>
      <w:tr w:rsidR="00122A90" w14:paraId="50A97BBB" w14:textId="77777777" w:rsidTr="00122A90">
        <w:tc>
          <w:tcPr>
            <w:tcW w:w="2093" w:type="dxa"/>
            <w:vMerge/>
          </w:tcPr>
          <w:p w14:paraId="50A97BB5" w14:textId="77777777" w:rsidR="00122A90" w:rsidRDefault="00122A90"/>
        </w:tc>
        <w:tc>
          <w:tcPr>
            <w:tcW w:w="4536" w:type="dxa"/>
          </w:tcPr>
          <w:p w14:paraId="50A97BB6" w14:textId="77777777" w:rsidR="00122A90" w:rsidRDefault="00122A90" w:rsidP="00717AAB">
            <w:r>
              <w:t>Housing Bill</w:t>
            </w:r>
            <w:r w:rsidR="003C546A">
              <w:t xml:space="preserve"> </w:t>
            </w:r>
            <w:r w:rsidR="003C546A" w:rsidRPr="003C546A">
              <w:t>and housing elements of the Welfare Reform Bill</w:t>
            </w:r>
            <w:r>
              <w:t xml:space="preserve">: to support the government broad aims of increasing housing supply and to mitigate any negative impacts of recent government housing policies  </w:t>
            </w:r>
          </w:p>
        </w:tc>
        <w:tc>
          <w:tcPr>
            <w:tcW w:w="3544" w:type="dxa"/>
          </w:tcPr>
          <w:p w14:paraId="50A97BB7" w14:textId="77777777" w:rsidR="00122A90" w:rsidRDefault="00122A90" w:rsidP="00DB10CD">
            <w:r>
              <w:t>The Board will provide political leadership as the LGA seeks to influence the  implementation of government policy through the Housing Bill</w:t>
            </w:r>
            <w:r w:rsidR="003C546A">
              <w:t xml:space="preserve"> </w:t>
            </w:r>
            <w:r w:rsidR="003C546A" w:rsidRPr="003C546A">
              <w:t>and the housing elements of the Welfare Reform Bill</w:t>
            </w:r>
          </w:p>
        </w:tc>
        <w:tc>
          <w:tcPr>
            <w:tcW w:w="2976" w:type="dxa"/>
          </w:tcPr>
          <w:p w14:paraId="50A97BB8" w14:textId="77777777" w:rsidR="00122A90" w:rsidRDefault="003C546A" w:rsidP="00DB10CD">
            <w:r w:rsidRPr="003C546A">
              <w:t xml:space="preserve">Housing </w:t>
            </w:r>
            <w:r w:rsidR="00122A90">
              <w:t xml:space="preserve">Bill </w:t>
            </w:r>
            <w:proofErr w:type="gramStart"/>
            <w:r w:rsidR="00122A90">
              <w:t>laid</w:t>
            </w:r>
            <w:proofErr w:type="gramEnd"/>
            <w:r w:rsidR="00122A90">
              <w:t xml:space="preserve"> mid-October 2015</w:t>
            </w:r>
            <w:r>
              <w:t>.</w:t>
            </w:r>
            <w:r w:rsidR="00122A90">
              <w:t>The resulting Act is expected to come into effect from April 2016</w:t>
            </w:r>
            <w:r>
              <w:t>.</w:t>
            </w:r>
          </w:p>
          <w:p w14:paraId="50A97BB9" w14:textId="77777777" w:rsidR="003C546A" w:rsidRDefault="003C546A" w:rsidP="00DB10CD">
            <w:r w:rsidRPr="003C546A">
              <w:t>Welfare Reform Bill</w:t>
            </w:r>
            <w:r>
              <w:t xml:space="preserve"> is</w:t>
            </w:r>
            <w:r w:rsidRPr="003C546A">
              <w:t xml:space="preserve"> currently before the House</w:t>
            </w:r>
            <w:r>
              <w:t>.</w:t>
            </w:r>
          </w:p>
          <w:p w14:paraId="50A97BBA" w14:textId="77777777" w:rsidR="00122A90" w:rsidRDefault="00122A90" w:rsidP="00DB10CD">
            <w:r>
              <w:t xml:space="preserve"> </w:t>
            </w:r>
          </w:p>
        </w:tc>
      </w:tr>
      <w:tr w:rsidR="00122A90" w14:paraId="50A97BC5" w14:textId="77777777" w:rsidTr="00122A90">
        <w:tc>
          <w:tcPr>
            <w:tcW w:w="2093" w:type="dxa"/>
            <w:vMerge/>
          </w:tcPr>
          <w:p w14:paraId="50A97BBC" w14:textId="77777777" w:rsidR="00122A90" w:rsidRDefault="00122A90"/>
        </w:tc>
        <w:tc>
          <w:tcPr>
            <w:tcW w:w="4536" w:type="dxa"/>
          </w:tcPr>
          <w:p w14:paraId="50A97BBD" w14:textId="77777777" w:rsidR="00122A90" w:rsidRDefault="00122A90" w:rsidP="00717AAB">
            <w:r>
              <w:t>Productivity Plan (Planning): to  work with government to strengthen the local planning function and to mitigate any negative impacts from the implementation of the Productivity plan</w:t>
            </w:r>
          </w:p>
          <w:p w14:paraId="50A97BBE" w14:textId="77777777" w:rsidR="00122A90" w:rsidRDefault="00122A90" w:rsidP="00717AAB"/>
          <w:p w14:paraId="50A97BBF" w14:textId="77777777" w:rsidR="00122A90" w:rsidRDefault="00122A90" w:rsidP="00717AAB"/>
          <w:p w14:paraId="50A97BC0" w14:textId="77777777" w:rsidR="00122A90" w:rsidRDefault="00122A90" w:rsidP="00717AAB"/>
        </w:tc>
        <w:tc>
          <w:tcPr>
            <w:tcW w:w="3544" w:type="dxa"/>
          </w:tcPr>
          <w:p w14:paraId="50A97BC1" w14:textId="77777777" w:rsidR="00122A90" w:rsidRDefault="00122A90" w:rsidP="00717AAB">
            <w:r w:rsidRPr="00DB10CD">
              <w:t>The Board will provide political leadership as the LGA seeks to influence the  implementation of government</w:t>
            </w:r>
            <w:r>
              <w:t xml:space="preserve">’s planning </w:t>
            </w:r>
            <w:r w:rsidRPr="00DB10CD">
              <w:t>policy through the Housing Bill</w:t>
            </w:r>
          </w:p>
        </w:tc>
        <w:tc>
          <w:tcPr>
            <w:tcW w:w="2976" w:type="dxa"/>
          </w:tcPr>
          <w:p w14:paraId="50A97BC2" w14:textId="77777777" w:rsidR="00122A90" w:rsidRDefault="00122A90" w:rsidP="00E4540B">
            <w:r>
              <w:t>Bill laid mid-October 2015</w:t>
            </w:r>
          </w:p>
          <w:p w14:paraId="50A97BC3" w14:textId="77777777" w:rsidR="00122A90" w:rsidRDefault="00122A90" w:rsidP="00E4540B">
            <w:r>
              <w:t>The resulting Act is expected to come into effect from April 2016</w:t>
            </w:r>
          </w:p>
          <w:p w14:paraId="50A97BC4" w14:textId="77777777" w:rsidR="00122A90" w:rsidRDefault="00122A90" w:rsidP="00DB10CD"/>
        </w:tc>
      </w:tr>
      <w:tr w:rsidR="00122A90" w14:paraId="50A97BCE" w14:textId="77777777" w:rsidTr="00122A90">
        <w:tc>
          <w:tcPr>
            <w:tcW w:w="2093" w:type="dxa"/>
            <w:vMerge w:val="restart"/>
          </w:tcPr>
          <w:p w14:paraId="50A97BC6" w14:textId="77777777" w:rsidR="00122A90" w:rsidRPr="00E4540B" w:rsidRDefault="00122A90">
            <w:pPr>
              <w:rPr>
                <w:b/>
              </w:rPr>
            </w:pPr>
            <w:r w:rsidRPr="00E4540B">
              <w:rPr>
                <w:b/>
              </w:rPr>
              <w:t>Transport</w:t>
            </w:r>
          </w:p>
        </w:tc>
        <w:tc>
          <w:tcPr>
            <w:tcW w:w="4536" w:type="dxa"/>
          </w:tcPr>
          <w:p w14:paraId="50A97BC7" w14:textId="00EF7DCE" w:rsidR="00122A90" w:rsidRDefault="00122A90">
            <w:r>
              <w:t xml:space="preserve">Local transport infrastructure: to ensure that local transport infrastructure is a priority for </w:t>
            </w:r>
            <w:proofErr w:type="gramStart"/>
            <w:r>
              <w:lastRenderedPageBreak/>
              <w:t>government,</w:t>
            </w:r>
            <w:proofErr w:type="gramEnd"/>
            <w:r>
              <w:t xml:space="preserve"> reflected in the negotiations on city and county deals and that future investment strategies for the strategic roads network and the rail network is better integrated with local transport </w:t>
            </w:r>
            <w:r w:rsidR="000C123B">
              <w:t>and provides</w:t>
            </w:r>
            <w:r>
              <w:t xml:space="preserve"> the maximum opportunity for investment in local growth.</w:t>
            </w:r>
          </w:p>
          <w:p w14:paraId="50A97BC8" w14:textId="77777777" w:rsidR="00122A90" w:rsidRDefault="00122A90"/>
        </w:tc>
        <w:tc>
          <w:tcPr>
            <w:tcW w:w="3544" w:type="dxa"/>
          </w:tcPr>
          <w:p w14:paraId="50A97BC9" w14:textId="77777777" w:rsidR="00122A90" w:rsidRDefault="00122A90">
            <w:r>
              <w:lastRenderedPageBreak/>
              <w:t xml:space="preserve">Continue to push for a fair deal for local roads </w:t>
            </w:r>
          </w:p>
          <w:p w14:paraId="50A97BCA" w14:textId="77777777" w:rsidR="00122A90" w:rsidRDefault="00122A90"/>
          <w:p w14:paraId="50A97BCB" w14:textId="77777777" w:rsidR="00122A90" w:rsidRDefault="00122A90">
            <w:r>
              <w:t xml:space="preserve">Ensure that councils and their local partners  are full participants in the development of national transport infrastructure, through the Highways England Roads Investment strategy </w:t>
            </w:r>
            <w:r w:rsidRPr="00FF3157">
              <w:t xml:space="preserve">and </w:t>
            </w:r>
            <w:r>
              <w:t>influence the next control period of the</w:t>
            </w:r>
            <w:r w:rsidRPr="00FF3157">
              <w:t xml:space="preserve"> Rail Investment Strategy</w:t>
            </w:r>
          </w:p>
          <w:p w14:paraId="50A97BCC" w14:textId="77777777" w:rsidR="00122A90" w:rsidRDefault="00122A90"/>
        </w:tc>
        <w:tc>
          <w:tcPr>
            <w:tcW w:w="2976" w:type="dxa"/>
          </w:tcPr>
          <w:p w14:paraId="50A97BCD" w14:textId="77777777" w:rsidR="00122A90" w:rsidRDefault="00122A90" w:rsidP="00122A90">
            <w:r>
              <w:lastRenderedPageBreak/>
              <w:t>July 2016</w:t>
            </w:r>
          </w:p>
        </w:tc>
      </w:tr>
      <w:tr w:rsidR="00122A90" w14:paraId="50A97BDC" w14:textId="77777777" w:rsidTr="00122A90">
        <w:tc>
          <w:tcPr>
            <w:tcW w:w="2093" w:type="dxa"/>
            <w:vMerge/>
          </w:tcPr>
          <w:p w14:paraId="50A97BCF" w14:textId="77777777" w:rsidR="00122A90" w:rsidRPr="00E4540B" w:rsidRDefault="00122A90">
            <w:pPr>
              <w:rPr>
                <w:b/>
              </w:rPr>
            </w:pPr>
          </w:p>
        </w:tc>
        <w:tc>
          <w:tcPr>
            <w:tcW w:w="4536" w:type="dxa"/>
          </w:tcPr>
          <w:p w14:paraId="50A97BD0" w14:textId="77777777" w:rsidR="00122A90" w:rsidRDefault="00122A90" w:rsidP="00713A52">
            <w:r>
              <w:t>Buses: to ensure that the Government takes the opportunity of the Buses Bill to bring forward measures that will lead to a more strategic approach to ensuring that buses meet the needs of communities and contribute to local growth and community health and wellbeing</w:t>
            </w:r>
          </w:p>
        </w:tc>
        <w:tc>
          <w:tcPr>
            <w:tcW w:w="3544" w:type="dxa"/>
          </w:tcPr>
          <w:p w14:paraId="50A97BD1" w14:textId="77777777" w:rsidR="00122A90" w:rsidRDefault="00122A90" w:rsidP="00097C99">
            <w:r>
              <w:t>Produce a Buses publication based on the work of the Task and Finish Group in the last session.</w:t>
            </w:r>
          </w:p>
          <w:p w14:paraId="50A97BD2" w14:textId="77777777" w:rsidR="00122A90" w:rsidRDefault="00122A90" w:rsidP="00097C99"/>
          <w:p w14:paraId="50A97BD3" w14:textId="77777777" w:rsidR="00122A90" w:rsidRDefault="00122A90" w:rsidP="00097C99">
            <w:r>
              <w:t xml:space="preserve">To work with government on the content of the buses bill, through engagement with ministers and political leadership of the sector. </w:t>
            </w:r>
          </w:p>
          <w:p w14:paraId="50A97BD4" w14:textId="77777777" w:rsidR="00122A90" w:rsidRDefault="00122A90" w:rsidP="00097C99"/>
          <w:p w14:paraId="50A97BD5" w14:textId="77777777" w:rsidR="00122A90" w:rsidRDefault="00122A90" w:rsidP="00BE4420"/>
        </w:tc>
        <w:tc>
          <w:tcPr>
            <w:tcW w:w="2976" w:type="dxa"/>
          </w:tcPr>
          <w:p w14:paraId="50A97BD6" w14:textId="77777777" w:rsidR="00122A90" w:rsidRDefault="00122A90">
            <w:r>
              <w:t>October 2015</w:t>
            </w:r>
          </w:p>
          <w:p w14:paraId="50A97BD7" w14:textId="77777777" w:rsidR="00122A90" w:rsidRDefault="00122A90"/>
          <w:p w14:paraId="50A97BD8" w14:textId="77777777" w:rsidR="00122A90" w:rsidRDefault="00122A90"/>
          <w:p w14:paraId="50A97BD9" w14:textId="77777777" w:rsidR="00122A90" w:rsidRDefault="00122A90"/>
          <w:p w14:paraId="50A97BDA" w14:textId="77777777" w:rsidR="00122A90" w:rsidRDefault="00122A90"/>
          <w:p w14:paraId="50A97BDB" w14:textId="77777777" w:rsidR="00122A90" w:rsidRDefault="00122A90" w:rsidP="00713A52">
            <w:r>
              <w:t xml:space="preserve">October 2015-March 2015 </w:t>
            </w:r>
          </w:p>
        </w:tc>
      </w:tr>
      <w:tr w:rsidR="00122A90" w14:paraId="50A97BE8" w14:textId="77777777" w:rsidTr="00122A90">
        <w:tc>
          <w:tcPr>
            <w:tcW w:w="2093" w:type="dxa"/>
            <w:vMerge/>
          </w:tcPr>
          <w:p w14:paraId="50A97BDD" w14:textId="77777777" w:rsidR="00122A90" w:rsidRDefault="00122A90"/>
        </w:tc>
        <w:tc>
          <w:tcPr>
            <w:tcW w:w="4536" w:type="dxa"/>
          </w:tcPr>
          <w:p w14:paraId="50A97BDE" w14:textId="77777777" w:rsidR="00122A90" w:rsidRDefault="00122A90" w:rsidP="00FF3157">
            <w:r w:rsidRPr="00FF3157">
              <w:t>To ensure councils have the correct tools available for effective traffic management and in meeting local needs</w:t>
            </w:r>
            <w:r>
              <w:t xml:space="preserve">. </w:t>
            </w:r>
            <w:r w:rsidRPr="00FF3157" w:rsidDel="00FF3157">
              <w:t xml:space="preserve"> </w:t>
            </w:r>
            <w:r>
              <w:t xml:space="preserve">. </w:t>
            </w:r>
          </w:p>
          <w:p w14:paraId="50A97BDF" w14:textId="77777777" w:rsidR="00122A90" w:rsidRDefault="00122A90" w:rsidP="00FF3157"/>
          <w:p w14:paraId="50A97BE0" w14:textId="77777777" w:rsidR="00122A90" w:rsidRDefault="00122A90" w:rsidP="00FF3157"/>
        </w:tc>
        <w:tc>
          <w:tcPr>
            <w:tcW w:w="3544" w:type="dxa"/>
          </w:tcPr>
          <w:p w14:paraId="50A97BE1" w14:textId="77777777" w:rsidR="00122A90" w:rsidRDefault="00122A90" w:rsidP="00FF3157">
            <w:r w:rsidRPr="00FF3157">
              <w:t>Defend local government’s reputation and freedom of action in respect of off street parking’</w:t>
            </w:r>
          </w:p>
          <w:p w14:paraId="50A97BE2" w14:textId="77777777" w:rsidR="00122A90" w:rsidRDefault="00122A90" w:rsidP="00FF3157"/>
          <w:p w14:paraId="50A97BE3" w14:textId="77777777" w:rsidR="00122A90" w:rsidRDefault="00122A90" w:rsidP="00FF3157">
            <w:r>
              <w:t>E</w:t>
            </w:r>
            <w:r w:rsidRPr="00FF3157">
              <w:t xml:space="preserve">nsure the government’s response to the supreme court’s air quality ruling enhances the ability of councils to tackle the problem through a package of relevant </w:t>
            </w:r>
            <w:r w:rsidRPr="00FF3157">
              <w:lastRenderedPageBreak/>
              <w:t>transport measures –</w:t>
            </w:r>
            <w:r>
              <w:t xml:space="preserve"> in conjunction with buses bill.</w:t>
            </w:r>
          </w:p>
          <w:p w14:paraId="50A97BE4" w14:textId="77777777" w:rsidR="00122A90" w:rsidRDefault="00122A90" w:rsidP="00097C99"/>
        </w:tc>
        <w:tc>
          <w:tcPr>
            <w:tcW w:w="2976" w:type="dxa"/>
          </w:tcPr>
          <w:p w14:paraId="50A97BE5" w14:textId="77777777" w:rsidR="00122A90" w:rsidRDefault="0024111A">
            <w:r>
              <w:lastRenderedPageBreak/>
              <w:t>July 2016</w:t>
            </w:r>
          </w:p>
          <w:p w14:paraId="50A97BE6" w14:textId="77777777" w:rsidR="0024111A" w:rsidRDefault="0024111A"/>
          <w:p w14:paraId="50A97BE7" w14:textId="77777777" w:rsidR="0024111A" w:rsidRDefault="0024111A"/>
        </w:tc>
      </w:tr>
      <w:tr w:rsidR="00122A90" w14:paraId="50A97BED" w14:textId="77777777" w:rsidTr="00122A90">
        <w:tc>
          <w:tcPr>
            <w:tcW w:w="2093" w:type="dxa"/>
          </w:tcPr>
          <w:p w14:paraId="50A97BE9" w14:textId="77777777" w:rsidR="00122A90" w:rsidRPr="00E4540B" w:rsidRDefault="00122A90">
            <w:pPr>
              <w:rPr>
                <w:b/>
              </w:rPr>
            </w:pPr>
          </w:p>
        </w:tc>
        <w:tc>
          <w:tcPr>
            <w:tcW w:w="4536" w:type="dxa"/>
          </w:tcPr>
          <w:p w14:paraId="50A97BEA" w14:textId="77777777" w:rsidR="00122A90" w:rsidRDefault="00122A90" w:rsidP="008F2E3D">
            <w:proofErr w:type="gramStart"/>
            <w:r>
              <w:t>That councils</w:t>
            </w:r>
            <w:proofErr w:type="gramEnd"/>
            <w:r>
              <w:t xml:space="preserve"> have funding certainty for highways maintenance and that Government support for local roads maintenance is at least equal to that for strategic roads network. </w:t>
            </w:r>
          </w:p>
        </w:tc>
        <w:tc>
          <w:tcPr>
            <w:tcW w:w="3544" w:type="dxa"/>
          </w:tcPr>
          <w:p w14:paraId="50A97BEB" w14:textId="77777777" w:rsidR="00122A90" w:rsidRDefault="00122A90" w:rsidP="008F2E3D">
            <w:r>
              <w:t>For the Board to keep a watching brief on highways maintenance spending, the national backlog of maintenance and repairs and continues to press Government for fair treatment as opportunities arise.</w:t>
            </w:r>
          </w:p>
        </w:tc>
        <w:tc>
          <w:tcPr>
            <w:tcW w:w="2976" w:type="dxa"/>
          </w:tcPr>
          <w:p w14:paraId="50A97BEC" w14:textId="77777777" w:rsidR="00122A90" w:rsidRDefault="0024111A" w:rsidP="00A97AC0">
            <w:r>
              <w:t>July 2016</w:t>
            </w:r>
          </w:p>
        </w:tc>
      </w:tr>
      <w:tr w:rsidR="0024111A" w14:paraId="50A97BF2" w14:textId="77777777" w:rsidTr="00122A90">
        <w:tc>
          <w:tcPr>
            <w:tcW w:w="2093" w:type="dxa"/>
            <w:vMerge w:val="restart"/>
          </w:tcPr>
          <w:p w14:paraId="50A97BEE" w14:textId="77777777" w:rsidR="0024111A" w:rsidRPr="00E4540B" w:rsidRDefault="0024111A">
            <w:pPr>
              <w:rPr>
                <w:b/>
              </w:rPr>
            </w:pPr>
            <w:r w:rsidRPr="00E4540B">
              <w:rPr>
                <w:b/>
              </w:rPr>
              <w:t>Growth</w:t>
            </w:r>
          </w:p>
        </w:tc>
        <w:tc>
          <w:tcPr>
            <w:tcW w:w="4536" w:type="dxa"/>
          </w:tcPr>
          <w:p w14:paraId="50A97BEF" w14:textId="77777777" w:rsidR="0024111A" w:rsidRDefault="0024111A" w:rsidP="00A97AC0">
            <w:r>
              <w:t>Local growth fund: Reduce the number of ring-fenced budgets, ensuring that the local growth fund evolves into a genuine reflection of the Heseltine single pot</w:t>
            </w:r>
          </w:p>
        </w:tc>
        <w:tc>
          <w:tcPr>
            <w:tcW w:w="3544" w:type="dxa"/>
          </w:tcPr>
          <w:p w14:paraId="50A97BF0" w14:textId="77777777" w:rsidR="0024111A" w:rsidRDefault="0024111A" w:rsidP="00A97AC0">
            <w:r>
              <w:t>The Board will continue to lobby government through the Spending review process.</w:t>
            </w:r>
          </w:p>
        </w:tc>
        <w:tc>
          <w:tcPr>
            <w:tcW w:w="2976" w:type="dxa"/>
          </w:tcPr>
          <w:p w14:paraId="50A97BF1" w14:textId="77777777" w:rsidR="0024111A" w:rsidRDefault="0024111A" w:rsidP="00A97AC0"/>
        </w:tc>
      </w:tr>
      <w:tr w:rsidR="0024111A" w14:paraId="50A97BF8" w14:textId="77777777" w:rsidTr="00122A90">
        <w:tc>
          <w:tcPr>
            <w:tcW w:w="2093" w:type="dxa"/>
            <w:vMerge/>
          </w:tcPr>
          <w:p w14:paraId="50A97BF3" w14:textId="77777777" w:rsidR="0024111A" w:rsidRDefault="0024111A">
            <w:pPr>
              <w:rPr>
                <w:b/>
              </w:rPr>
            </w:pPr>
          </w:p>
        </w:tc>
        <w:tc>
          <w:tcPr>
            <w:tcW w:w="4536" w:type="dxa"/>
          </w:tcPr>
          <w:p w14:paraId="50A97BF4" w14:textId="77777777" w:rsidR="0024111A" w:rsidRDefault="0024111A">
            <w:r>
              <w:t xml:space="preserve">Local growth: maintaining local government’s  momentum as a leader in the creation of the conditions for local growth, through the sharing of experiences and innovative practice </w:t>
            </w:r>
          </w:p>
        </w:tc>
        <w:tc>
          <w:tcPr>
            <w:tcW w:w="3544" w:type="dxa"/>
          </w:tcPr>
          <w:p w14:paraId="50A97BF5" w14:textId="77777777" w:rsidR="0024111A" w:rsidRDefault="0024111A" w:rsidP="00F415A3">
            <w:r>
              <w:t>Board to Commission two growth seminars.</w:t>
            </w:r>
          </w:p>
          <w:p w14:paraId="50A97BF6" w14:textId="77777777" w:rsidR="0024111A" w:rsidRPr="00E4540B" w:rsidRDefault="0024111A" w:rsidP="00A97AC0">
            <w:r>
              <w:t>Research: future proofing local economies: the role of LAs</w:t>
            </w:r>
          </w:p>
        </w:tc>
        <w:tc>
          <w:tcPr>
            <w:tcW w:w="2976" w:type="dxa"/>
          </w:tcPr>
          <w:p w14:paraId="50A97BF7" w14:textId="77777777" w:rsidR="0024111A" w:rsidRDefault="0024111A">
            <w:r>
              <w:t>March 2016</w:t>
            </w:r>
          </w:p>
        </w:tc>
      </w:tr>
      <w:tr w:rsidR="0024111A" w14:paraId="50A97BFD" w14:textId="77777777" w:rsidTr="00122A90">
        <w:tc>
          <w:tcPr>
            <w:tcW w:w="2093" w:type="dxa"/>
            <w:vMerge/>
          </w:tcPr>
          <w:p w14:paraId="50A97BF9" w14:textId="77777777" w:rsidR="0024111A" w:rsidRDefault="0024111A">
            <w:pPr>
              <w:rPr>
                <w:b/>
              </w:rPr>
            </w:pPr>
          </w:p>
        </w:tc>
        <w:tc>
          <w:tcPr>
            <w:tcW w:w="4536" w:type="dxa"/>
          </w:tcPr>
          <w:p w14:paraId="50A97BFA" w14:textId="13CBE106" w:rsidR="0024111A" w:rsidRDefault="0024111A" w:rsidP="00824770">
            <w:r>
              <w:t xml:space="preserve">That local government’s ambition in supporting and promoting local growth is coherent, </w:t>
            </w:r>
            <w:r w:rsidR="000C123B">
              <w:t>integrated,</w:t>
            </w:r>
            <w:r>
              <w:t xml:space="preserve"> reflects membership priorities and recognised nationally.</w:t>
            </w:r>
          </w:p>
        </w:tc>
        <w:tc>
          <w:tcPr>
            <w:tcW w:w="3544" w:type="dxa"/>
          </w:tcPr>
          <w:p w14:paraId="50A97BFB" w14:textId="545F3BCC" w:rsidR="0024111A" w:rsidRPr="00E4540B" w:rsidRDefault="0024111A" w:rsidP="00122A90">
            <w:r>
              <w:t>Board to commission an overvi</w:t>
            </w:r>
            <w:r w:rsidR="005F0FE2">
              <w:t>ew of councils’ role in promoting</w:t>
            </w:r>
            <w:bookmarkStart w:id="0" w:name="_GoBack"/>
            <w:bookmarkEnd w:id="0"/>
            <w:r>
              <w:t xml:space="preserve"> local growth and to highlight the opportunities and challenges through a small number of case studies.</w:t>
            </w:r>
          </w:p>
        </w:tc>
        <w:tc>
          <w:tcPr>
            <w:tcW w:w="2976" w:type="dxa"/>
          </w:tcPr>
          <w:p w14:paraId="50A97BFC" w14:textId="77777777" w:rsidR="0024111A" w:rsidRDefault="0024111A">
            <w:r>
              <w:t>December 2015</w:t>
            </w:r>
          </w:p>
        </w:tc>
      </w:tr>
      <w:tr w:rsidR="00122A90" w14:paraId="50A97C04" w14:textId="77777777" w:rsidTr="00122A90">
        <w:tc>
          <w:tcPr>
            <w:tcW w:w="2093" w:type="dxa"/>
          </w:tcPr>
          <w:p w14:paraId="50A97BFE" w14:textId="77777777" w:rsidR="00122A90" w:rsidRPr="00E4540B" w:rsidRDefault="00122A90">
            <w:pPr>
              <w:rPr>
                <w:b/>
              </w:rPr>
            </w:pPr>
            <w:r>
              <w:rPr>
                <w:b/>
              </w:rPr>
              <w:t>Environment/Waste</w:t>
            </w:r>
          </w:p>
        </w:tc>
        <w:tc>
          <w:tcPr>
            <w:tcW w:w="4536" w:type="dxa"/>
          </w:tcPr>
          <w:p w14:paraId="50A97BFF" w14:textId="77777777" w:rsidR="00122A90" w:rsidRDefault="00122A90">
            <w:r>
              <w:t xml:space="preserve">To ensure that producers are bearing an appropriate responsibility for waste within the circular economy model </w:t>
            </w:r>
          </w:p>
          <w:p w14:paraId="50A97C00" w14:textId="77777777" w:rsidR="00122A90" w:rsidRDefault="00122A90"/>
          <w:p w14:paraId="50A97C01" w14:textId="77777777" w:rsidR="00122A90" w:rsidRDefault="00122A90" w:rsidP="00A97AC0">
            <w:r>
              <w:t>Recycling targets from 2020 are reasonable and reflect the current position of nation states</w:t>
            </w:r>
          </w:p>
        </w:tc>
        <w:tc>
          <w:tcPr>
            <w:tcW w:w="3544" w:type="dxa"/>
          </w:tcPr>
          <w:p w14:paraId="50A97C02" w14:textId="41B9C8EA" w:rsidR="00122A90" w:rsidRDefault="00122A90" w:rsidP="00122A90">
            <w:r w:rsidRPr="00E4540B">
              <w:t xml:space="preserve">The Board will provide political leadership as the </w:t>
            </w:r>
            <w:r>
              <w:t xml:space="preserve">LGA </w:t>
            </w:r>
            <w:r w:rsidRPr="00E4540B">
              <w:t>seeks to influence</w:t>
            </w:r>
            <w:r>
              <w:t xml:space="preserve"> the UK’s approach to meeting the 2020 50% recycling target and the development </w:t>
            </w:r>
            <w:r w:rsidR="000C123B">
              <w:t>by the</w:t>
            </w:r>
            <w:r>
              <w:t xml:space="preserve"> EU of potentially more testing future </w:t>
            </w:r>
            <w:r>
              <w:lastRenderedPageBreak/>
              <w:t>targets.</w:t>
            </w:r>
          </w:p>
        </w:tc>
        <w:tc>
          <w:tcPr>
            <w:tcW w:w="2976" w:type="dxa"/>
          </w:tcPr>
          <w:p w14:paraId="50A97C03" w14:textId="77777777" w:rsidR="00122A90" w:rsidRDefault="0024111A">
            <w:r>
              <w:lastRenderedPageBreak/>
              <w:t>July 2016</w:t>
            </w:r>
          </w:p>
        </w:tc>
      </w:tr>
      <w:tr w:rsidR="00122A90" w14:paraId="50A97C0E" w14:textId="77777777" w:rsidTr="00122A90">
        <w:tc>
          <w:tcPr>
            <w:tcW w:w="2093" w:type="dxa"/>
          </w:tcPr>
          <w:p w14:paraId="50A97C05" w14:textId="77777777" w:rsidR="00122A90" w:rsidRPr="00122A90" w:rsidRDefault="00122A90">
            <w:pPr>
              <w:rPr>
                <w:b/>
              </w:rPr>
            </w:pPr>
            <w:r w:rsidRPr="00122A90">
              <w:rPr>
                <w:b/>
              </w:rPr>
              <w:lastRenderedPageBreak/>
              <w:t>Winter weather</w:t>
            </w:r>
          </w:p>
        </w:tc>
        <w:tc>
          <w:tcPr>
            <w:tcW w:w="4536" w:type="dxa"/>
          </w:tcPr>
          <w:p w14:paraId="50A97C06" w14:textId="77777777" w:rsidR="00122A90" w:rsidRDefault="00122A90" w:rsidP="00F074C9">
            <w:pPr>
              <w:pStyle w:val="ListParagraph"/>
              <w:numPr>
                <w:ilvl w:val="0"/>
                <w:numId w:val="2"/>
              </w:numPr>
            </w:pPr>
            <w:r w:rsidRPr="0014574C">
              <w:t>Promote and defend the reputation of councils and their work to help residents and businesses prepare for and respond to severe winter weather.</w:t>
            </w:r>
          </w:p>
          <w:p w14:paraId="50A97C07" w14:textId="77777777" w:rsidR="00122A90" w:rsidRDefault="00122A90" w:rsidP="00F074C9">
            <w:pPr>
              <w:pStyle w:val="ListParagraph"/>
              <w:ind w:left="360"/>
            </w:pPr>
          </w:p>
          <w:p w14:paraId="50A97C08" w14:textId="77777777" w:rsidR="00122A90" w:rsidRDefault="00122A90" w:rsidP="0014574C"/>
        </w:tc>
        <w:tc>
          <w:tcPr>
            <w:tcW w:w="3544" w:type="dxa"/>
          </w:tcPr>
          <w:p w14:paraId="50A97C09" w14:textId="77777777" w:rsidR="00122A90" w:rsidRDefault="00122A90">
            <w:r w:rsidRPr="0014574C">
              <w:t>Winter readiness survey of local authorities.</w:t>
            </w:r>
          </w:p>
          <w:p w14:paraId="50A97C0A" w14:textId="77777777" w:rsidR="00122A90" w:rsidRDefault="00122A90" w:rsidP="0014574C"/>
          <w:p w14:paraId="50A97C0B" w14:textId="77777777" w:rsidR="00122A90" w:rsidRDefault="00122A90" w:rsidP="0014574C">
            <w:r>
              <w:t>In the event of severe weather provide communications, policy and advocacy support at a national level. E.G. Salt Cell</w:t>
            </w:r>
          </w:p>
          <w:p w14:paraId="50A97C0C" w14:textId="77777777" w:rsidR="00122A90" w:rsidRDefault="00122A90"/>
        </w:tc>
        <w:tc>
          <w:tcPr>
            <w:tcW w:w="2976" w:type="dxa"/>
          </w:tcPr>
          <w:p w14:paraId="50A97C0D" w14:textId="77777777" w:rsidR="00122A90" w:rsidRDefault="00122A90">
            <w:r>
              <w:t>Oct/ Nov 2015</w:t>
            </w:r>
          </w:p>
        </w:tc>
      </w:tr>
    </w:tbl>
    <w:p w14:paraId="50A97C0F" w14:textId="77777777" w:rsidR="00717AAB" w:rsidRDefault="00717AAB" w:rsidP="00F074C9"/>
    <w:sectPr w:rsidR="00717AAB" w:rsidSect="003C54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97C12" w14:textId="77777777" w:rsidR="000D4743" w:rsidRDefault="000D4743" w:rsidP="00B67232">
      <w:pPr>
        <w:spacing w:line="240" w:lineRule="auto"/>
      </w:pPr>
      <w:r>
        <w:separator/>
      </w:r>
    </w:p>
  </w:endnote>
  <w:endnote w:type="continuationSeparator" w:id="0">
    <w:p w14:paraId="50A97C13" w14:textId="77777777" w:rsidR="000D4743" w:rsidRDefault="000D4743" w:rsidP="00B67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97C10" w14:textId="77777777" w:rsidR="000D4743" w:rsidRDefault="000D4743" w:rsidP="00B67232">
      <w:pPr>
        <w:spacing w:line="240" w:lineRule="auto"/>
      </w:pPr>
      <w:r>
        <w:separator/>
      </w:r>
    </w:p>
  </w:footnote>
  <w:footnote w:type="continuationSeparator" w:id="0">
    <w:p w14:paraId="50A97C11" w14:textId="77777777" w:rsidR="000D4743" w:rsidRDefault="000D4743" w:rsidP="00B67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6310" w14:textId="7D6F9F17" w:rsidR="000238B2" w:rsidRDefault="000238B2" w:rsidP="000238B2">
    <w:pPr>
      <w:pStyle w:val="Header"/>
      <w:tabs>
        <w:tab w:val="clear" w:pos="4513"/>
        <w:tab w:val="clear" w:pos="9026"/>
        <w:tab w:val="left" w:pos="796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EA3735" wp14:editId="3E37375B">
          <wp:simplePos x="0" y="0"/>
          <wp:positionH relativeFrom="column">
            <wp:posOffset>-114300</wp:posOffset>
          </wp:positionH>
          <wp:positionV relativeFrom="paragraph">
            <wp:posOffset>131445</wp:posOffset>
          </wp:positionV>
          <wp:extent cx="1085850" cy="647700"/>
          <wp:effectExtent l="0" t="0" r="0" b="0"/>
          <wp:wrapTight wrapText="bothSides">
            <wp:wrapPolygon edited="0">
              <wp:start x="0" y="0"/>
              <wp:lineTo x="0" y="20965"/>
              <wp:lineTo x="21221" y="20965"/>
              <wp:lineTo x="21221" y="0"/>
              <wp:lineTo x="0" y="0"/>
            </wp:wrapPolygon>
          </wp:wrapTight>
          <wp:docPr id="2" name="Picture 2" descr="LG_Association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G_Association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260" w:type="dxa"/>
      <w:tblInd w:w="5175" w:type="dxa"/>
      <w:tblLook w:val="01E0" w:firstRow="1" w:lastRow="1" w:firstColumn="1" w:lastColumn="1" w:noHBand="0" w:noVBand="0"/>
    </w:tblPr>
    <w:tblGrid>
      <w:gridCol w:w="3260"/>
    </w:tblGrid>
    <w:tr w:rsidR="000238B2" w14:paraId="7D839EBE" w14:textId="77777777" w:rsidTr="0089193A">
      <w:tc>
        <w:tcPr>
          <w:tcW w:w="3260" w:type="dxa"/>
          <w:vAlign w:val="center"/>
          <w:hideMark/>
        </w:tcPr>
        <w:p w14:paraId="74F531C7" w14:textId="27A502B9" w:rsidR="000238B2" w:rsidRDefault="000238B2" w:rsidP="000238B2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Environment, Economy, Housing and Transport Board </w:t>
          </w:r>
        </w:p>
      </w:tc>
    </w:tr>
    <w:tr w:rsidR="000238B2" w14:paraId="3AF147A1" w14:textId="77777777" w:rsidTr="0089193A">
      <w:trPr>
        <w:trHeight w:val="450"/>
      </w:trPr>
      <w:tc>
        <w:tcPr>
          <w:tcW w:w="3260" w:type="dxa"/>
          <w:vAlign w:val="center"/>
          <w:hideMark/>
        </w:tcPr>
        <w:p w14:paraId="3D6DDE2D" w14:textId="77777777" w:rsidR="000238B2" w:rsidRDefault="000238B2">
          <w:pPr>
            <w:pStyle w:val="Header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 October 2015</w:t>
          </w:r>
        </w:p>
      </w:tc>
    </w:tr>
  </w:tbl>
  <w:p w14:paraId="4FA1DEEB" w14:textId="3666F1A0" w:rsidR="000238B2" w:rsidRDefault="000238B2" w:rsidP="000238B2">
    <w:pPr>
      <w:pStyle w:val="Header"/>
      <w:tabs>
        <w:tab w:val="clear" w:pos="4513"/>
        <w:tab w:val="clear" w:pos="9026"/>
        <w:tab w:val="left" w:pos="79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3B6"/>
    <w:multiLevelType w:val="hybridMultilevel"/>
    <w:tmpl w:val="FAA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378FD"/>
    <w:multiLevelType w:val="hybridMultilevel"/>
    <w:tmpl w:val="85C2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E29DB"/>
    <w:multiLevelType w:val="hybridMultilevel"/>
    <w:tmpl w:val="784A3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D"/>
    <w:rsid w:val="00017586"/>
    <w:rsid w:val="000238B2"/>
    <w:rsid w:val="00097C99"/>
    <w:rsid w:val="000C123B"/>
    <w:rsid w:val="000D4743"/>
    <w:rsid w:val="001204C9"/>
    <w:rsid w:val="00122A90"/>
    <w:rsid w:val="001302D6"/>
    <w:rsid w:val="00135391"/>
    <w:rsid w:val="0014574C"/>
    <w:rsid w:val="002350A8"/>
    <w:rsid w:val="0024111A"/>
    <w:rsid w:val="00293ABD"/>
    <w:rsid w:val="003C546A"/>
    <w:rsid w:val="003D18B6"/>
    <w:rsid w:val="004A0B40"/>
    <w:rsid w:val="004B2B39"/>
    <w:rsid w:val="005C4D1E"/>
    <w:rsid w:val="005F0FE2"/>
    <w:rsid w:val="006A0A2A"/>
    <w:rsid w:val="006F7A29"/>
    <w:rsid w:val="00713A52"/>
    <w:rsid w:val="00717AAB"/>
    <w:rsid w:val="007B5A37"/>
    <w:rsid w:val="007D210D"/>
    <w:rsid w:val="00824770"/>
    <w:rsid w:val="0089193A"/>
    <w:rsid w:val="008D075C"/>
    <w:rsid w:val="008F2E3D"/>
    <w:rsid w:val="00947E35"/>
    <w:rsid w:val="00990CC8"/>
    <w:rsid w:val="009F1A6E"/>
    <w:rsid w:val="00B57513"/>
    <w:rsid w:val="00B67232"/>
    <w:rsid w:val="00B94101"/>
    <w:rsid w:val="00BE4420"/>
    <w:rsid w:val="00C60FF2"/>
    <w:rsid w:val="00CD381F"/>
    <w:rsid w:val="00DB10CD"/>
    <w:rsid w:val="00E020B3"/>
    <w:rsid w:val="00E43C33"/>
    <w:rsid w:val="00E4540B"/>
    <w:rsid w:val="00F074C9"/>
    <w:rsid w:val="00F80819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97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A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293ABD"/>
    <w:pPr>
      <w:tabs>
        <w:tab w:val="decimal" w:pos="360"/>
      </w:tabs>
      <w:spacing w:after="200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93ABD"/>
    <w:pPr>
      <w:spacing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3ABD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293ABD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93ABD"/>
    <w:pPr>
      <w:spacing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nhideWhenUsed/>
    <w:rsid w:val="00B672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67232"/>
  </w:style>
  <w:style w:type="paragraph" w:styleId="Footer">
    <w:name w:val="footer"/>
    <w:basedOn w:val="Normal"/>
    <w:link w:val="FooterChar"/>
    <w:uiPriority w:val="99"/>
    <w:unhideWhenUsed/>
    <w:rsid w:val="00B672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32"/>
  </w:style>
  <w:style w:type="paragraph" w:styleId="BalloonText">
    <w:name w:val="Balloon Text"/>
    <w:basedOn w:val="Normal"/>
    <w:link w:val="BalloonTextChar"/>
    <w:uiPriority w:val="99"/>
    <w:semiHidden/>
    <w:unhideWhenUsed/>
    <w:rsid w:val="006F7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74C"/>
    <w:pPr>
      <w:ind w:left="720"/>
      <w:contextualSpacing/>
    </w:pPr>
  </w:style>
  <w:style w:type="paragraph" w:customStyle="1" w:styleId="LGAItemNoHeading">
    <w:name w:val="LGA Item No Heading"/>
    <w:basedOn w:val="Normal"/>
    <w:rsid w:val="003C546A"/>
    <w:pPr>
      <w:spacing w:before="600" w:after="240" w:line="280" w:lineRule="exact"/>
    </w:pPr>
    <w:rPr>
      <w:rFonts w:ascii="Frutiger 55 Roman" w:eastAsia="Times New Roman" w:hAnsi="Frutiger 55 Roman" w:cs="Times New Roman"/>
      <w:b/>
      <w:sz w:val="32"/>
      <w:szCs w:val="20"/>
      <w:lang w:eastAsia="en-GB"/>
    </w:rPr>
  </w:style>
  <w:style w:type="table" w:customStyle="1" w:styleId="TableGrid1">
    <w:name w:val="Table Grid1"/>
    <w:basedOn w:val="TableNormal"/>
    <w:next w:val="TableGrid"/>
    <w:rsid w:val="003C546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A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293ABD"/>
    <w:pPr>
      <w:tabs>
        <w:tab w:val="decimal" w:pos="360"/>
      </w:tabs>
      <w:spacing w:after="200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93ABD"/>
    <w:pPr>
      <w:spacing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3ABD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293ABD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93ABD"/>
    <w:pPr>
      <w:spacing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nhideWhenUsed/>
    <w:rsid w:val="00B672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67232"/>
  </w:style>
  <w:style w:type="paragraph" w:styleId="Footer">
    <w:name w:val="footer"/>
    <w:basedOn w:val="Normal"/>
    <w:link w:val="FooterChar"/>
    <w:uiPriority w:val="99"/>
    <w:unhideWhenUsed/>
    <w:rsid w:val="00B672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32"/>
  </w:style>
  <w:style w:type="paragraph" w:styleId="BalloonText">
    <w:name w:val="Balloon Text"/>
    <w:basedOn w:val="Normal"/>
    <w:link w:val="BalloonTextChar"/>
    <w:uiPriority w:val="99"/>
    <w:semiHidden/>
    <w:unhideWhenUsed/>
    <w:rsid w:val="006F7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74C"/>
    <w:pPr>
      <w:ind w:left="720"/>
      <w:contextualSpacing/>
    </w:pPr>
  </w:style>
  <w:style w:type="paragraph" w:customStyle="1" w:styleId="LGAItemNoHeading">
    <w:name w:val="LGA Item No Heading"/>
    <w:basedOn w:val="Normal"/>
    <w:rsid w:val="003C546A"/>
    <w:pPr>
      <w:spacing w:before="600" w:after="240" w:line="280" w:lineRule="exact"/>
    </w:pPr>
    <w:rPr>
      <w:rFonts w:ascii="Frutiger 55 Roman" w:eastAsia="Times New Roman" w:hAnsi="Frutiger 55 Roman" w:cs="Times New Roman"/>
      <w:b/>
      <w:sz w:val="32"/>
      <w:szCs w:val="20"/>
      <w:lang w:eastAsia="en-GB"/>
    </w:rPr>
  </w:style>
  <w:style w:type="table" w:customStyle="1" w:styleId="TableGrid1">
    <w:name w:val="Table Grid1"/>
    <w:basedOn w:val="TableNormal"/>
    <w:next w:val="TableGrid"/>
    <w:rsid w:val="003C546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Eamon Lally</dc:creator>
  <cp:lastModifiedBy>Yasmeen Sebbana</cp:lastModifiedBy>
  <cp:revision>13</cp:revision>
  <dcterms:created xsi:type="dcterms:W3CDTF">2015-09-23T14:32:00Z</dcterms:created>
  <dcterms:modified xsi:type="dcterms:W3CDTF">2015-09-24T15:33:00Z</dcterms:modified>
</cp:coreProperties>
</file>